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ourier New" w:hAnsi="Courier New"/>
        </w:rPr>
        <w:t>FarmerMind AI Safety and Compliance Policy</w:t>
      </w:r>
    </w:p>
    <w:p>
      <w:r>
        <w:rPr>
          <w:rFonts w:ascii="Courier New" w:hAnsi="Courier New"/>
        </w:rPr>
        <w:t>Last Updated: September 2026</w:t>
      </w:r>
    </w:p>
    <w:p/>
    <w:p>
      <w:r>
        <w:rPr>
          <w:rFonts w:ascii="Courier New" w:hAnsi="Courier New"/>
        </w:rPr>
        <w:t>1. Purpose</w:t>
      </w:r>
    </w:p>
    <w:p>
      <w:r>
        <w:rPr>
          <w:rFonts w:ascii="Courier New" w:hAnsi="Courier New"/>
        </w:rPr>
        <w:t>This Safety and Compliance Policy establishes safe operating practices for the FarmerMind AI device and related accessories used in agricultural environments.</w:t>
      </w:r>
    </w:p>
    <w:p/>
    <w:p>
      <w:r>
        <w:rPr>
          <w:rFonts w:ascii="Courier New" w:hAnsi="Courier New"/>
        </w:rPr>
        <w:t>2. Device Power System</w:t>
      </w:r>
    </w:p>
    <w:p>
      <w:r>
        <w:rPr>
          <w:rFonts w:ascii="Courier New" w:hAnsi="Courier New"/>
        </w:rPr>
        <w:t>The FarmerMind AI device is powered by an external USB‑C power bank rather than an internal UPS battery system. The power bank supplies regulated power to support portable field operation.</w:t>
      </w:r>
    </w:p>
    <w:p/>
    <w:p>
      <w:r>
        <w:rPr>
          <w:rFonts w:ascii="Courier New" w:hAnsi="Courier New"/>
        </w:rPr>
        <w:t>3. Charging Requirements</w:t>
      </w:r>
    </w:p>
    <w:p>
      <w:r>
        <w:rPr>
          <w:rFonts w:ascii="Courier New" w:hAnsi="Courier New"/>
        </w:rPr>
        <w:t>- Use certified USB‑C cables and reliable charging adapters.</w:t>
      </w:r>
    </w:p>
    <w:p>
      <w:r>
        <w:rPr>
          <w:rFonts w:ascii="Courier New" w:hAnsi="Courier New"/>
        </w:rPr>
        <w:t>- Charge the power bank on a dry, ventilated surface.</w:t>
      </w:r>
    </w:p>
    <w:p>
      <w:r>
        <w:rPr>
          <w:rFonts w:ascii="Courier New" w:hAnsi="Courier New"/>
        </w:rPr>
        <w:t>- Avoid charging near heat sources or flammable materials.</w:t>
      </w:r>
    </w:p>
    <w:p/>
    <w:p>
      <w:r>
        <w:rPr>
          <w:rFonts w:ascii="Courier New" w:hAnsi="Courier New"/>
        </w:rPr>
        <w:t>4. Safe Handling</w:t>
      </w:r>
    </w:p>
    <w:p>
      <w:r>
        <w:rPr>
          <w:rFonts w:ascii="Courier New" w:hAnsi="Courier New"/>
        </w:rPr>
        <w:t>- Do not expose the device to standing water or extreme moisture.</w:t>
      </w:r>
    </w:p>
    <w:p>
      <w:r>
        <w:rPr>
          <w:rFonts w:ascii="Courier New" w:hAnsi="Courier New"/>
        </w:rPr>
        <w:t>- Do not drop, crush, or modify the enclosure.</w:t>
      </w:r>
    </w:p>
    <w:p>
      <w:r>
        <w:rPr>
          <w:rFonts w:ascii="Courier New" w:hAnsi="Courier New"/>
        </w:rPr>
        <w:t>- Operate the device only under normal environmental conditions.</w:t>
      </w:r>
    </w:p>
    <w:p/>
    <w:p>
      <w:r>
        <w:rPr>
          <w:rFonts w:ascii="Courier New" w:hAnsi="Courier New"/>
        </w:rPr>
        <w:t>5. Compliance Status</w:t>
      </w:r>
    </w:p>
    <w:p>
      <w:r>
        <w:rPr>
          <w:rFonts w:ascii="Courier New" w:hAnsi="Courier New"/>
        </w:rPr>
        <w:t>Prototype or beta devices may not yet be certified as finished products under FCC, CE, or equivalent regulatory programs.</w:t>
      </w:r>
    </w:p>
    <w:p/>
    <w:p>
      <w:r>
        <w:rPr>
          <w:rFonts w:ascii="Courier New" w:hAnsi="Courier New"/>
        </w:rPr>
        <w:t>6. User Responsibility</w:t>
      </w:r>
    </w:p>
    <w:p>
      <w:r>
        <w:rPr>
          <w:rFonts w:ascii="Courier New" w:hAnsi="Courier New"/>
        </w:rPr>
        <w:t>Users must operate the device in accordance with these safety practices.</w:t>
      </w:r>
    </w:p>
    <w:p/>
    <w:p>
      <w:r>
        <w:rPr>
          <w:rFonts w:ascii="Courier New" w:hAnsi="Courier New"/>
        </w:rPr>
        <w:t>7. Policy Updates</w:t>
      </w:r>
    </w:p>
    <w:p>
      <w:r>
        <w:rPr>
          <w:rFonts w:ascii="Courier New" w:hAnsi="Courier New"/>
        </w:rPr>
        <w:t>FarmerMind AI LLC may update this policy as hardware architecture evolves.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